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bottom w:color="97b0c8" w:space="0" w:sz="6" w:val="single"/>
        </w:pBdr>
        <w:shd w:fill="ffffff" w:val="clear"/>
        <w:spacing w:after="360" w:before="720" w:line="276" w:lineRule="auto"/>
        <w:contextualSpacing w:val="0"/>
        <w:rPr>
          <w:color w:val="985735"/>
          <w:sz w:val="36"/>
          <w:szCs w:val="36"/>
        </w:rPr>
      </w:pPr>
      <w:bookmarkStart w:colFirst="0" w:colLast="0" w:name="_d5rq1abkq70z" w:id="0"/>
      <w:bookmarkEnd w:id="0"/>
      <w:r w:rsidDel="00000000" w:rsidR="00000000" w:rsidRPr="00000000">
        <w:rPr>
          <w:color w:val="985735"/>
          <w:sz w:val="36"/>
          <w:szCs w:val="36"/>
          <w:rtl w:val="0"/>
        </w:rPr>
        <w:t xml:space="preserve">Beliefs About Creativity Influence Creative Performance: The Mediation Effects of Flexibility and Positive Affect</w:t>
      </w:r>
      <w:r w:rsidDel="00000000" w:rsidR="00000000" w:rsidRPr="00000000">
        <w:rPr>
          <w:rtl w:val="0"/>
        </w:rPr>
      </w:r>
    </w:p>
    <w:p w:rsidR="00000000" w:rsidDel="00000000" w:rsidP="00000000" w:rsidRDefault="00000000" w:rsidRPr="00000000" w14:paraId="00000001">
      <w:pPr>
        <w:pStyle w:val="Heading3"/>
        <w:keepNext w:val="0"/>
        <w:keepLines w:val="0"/>
        <w:spacing w:after="180" w:before="360" w:line="300" w:lineRule="auto"/>
        <w:contextualSpacing w:val="0"/>
        <w:rPr>
          <w:color w:val="724128"/>
        </w:rPr>
      </w:pPr>
      <w:bookmarkStart w:colFirst="0" w:colLast="0" w:name="_eogvoefg1vfw" w:id="1"/>
      <w:bookmarkEnd w:id="1"/>
      <w:r w:rsidDel="00000000" w:rsidR="00000000" w:rsidRPr="00000000">
        <w:rPr>
          <w:color w:val="724128"/>
          <w:rtl w:val="0"/>
        </w:rPr>
        <w:t xml:space="preserve">Creativity and Beliefs About Creativity</w:t>
      </w:r>
    </w:p>
    <w:p w:rsidR="00000000" w:rsidDel="00000000" w:rsidP="00000000" w:rsidRDefault="00000000" w:rsidRPr="00000000" w14:paraId="00000002">
      <w:pPr>
        <w:spacing w:after="160" w:before="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Psychologists agree upon </w:t>
      </w:r>
      <w:commentRangeStart w:id="0"/>
      <w:r w:rsidDel="00000000" w:rsidR="00000000" w:rsidRPr="00000000">
        <w:rPr>
          <w:rFonts w:ascii="Times New Roman" w:cs="Times New Roman" w:eastAsia="Times New Roman" w:hAnsi="Times New Roman"/>
          <w:sz w:val="24"/>
          <w:szCs w:val="24"/>
          <w:highlight w:val="yellow"/>
          <w:rtl w:val="0"/>
        </w:rPr>
        <w:t xml:space="preserve">the definition of creativity as the ability to produce work that is novel (original and unique) and useful</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642a8f"/>
            <w:sz w:val="24"/>
            <w:szCs w:val="24"/>
            <w:u w:val="single"/>
            <w:rtl w:val="0"/>
          </w:rPr>
          <w:t xml:space="preserve">Stein, 1953</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642a8f"/>
            <w:sz w:val="24"/>
            <w:szCs w:val="24"/>
            <w:u w:val="single"/>
            <w:rtl w:val="0"/>
          </w:rPr>
          <w:t xml:space="preserve">Sternberg and Lubart, 1993</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642a8f"/>
            <w:sz w:val="24"/>
            <w:szCs w:val="24"/>
            <w:u w:val="single"/>
            <w:rtl w:val="0"/>
          </w:rPr>
          <w:t xml:space="preserve">Runco and Jaeger, 2012</w:t>
        </w:r>
      </w:hyperlink>
      <w:r w:rsidDel="00000000" w:rsidR="00000000" w:rsidRPr="00000000">
        <w:rPr>
          <w:rFonts w:ascii="Times New Roman" w:cs="Times New Roman" w:eastAsia="Times New Roman" w:hAnsi="Times New Roman"/>
          <w:sz w:val="24"/>
          <w:szCs w:val="24"/>
          <w:rtl w:val="0"/>
        </w:rPr>
        <w:t xml:space="preserve">). From a cognitive perspective, creativity is concerned with two types of thinking, namely </w:t>
      </w:r>
      <w:commentRangeStart w:id="1"/>
      <w:r w:rsidDel="00000000" w:rsidR="00000000" w:rsidRPr="00000000">
        <w:rPr>
          <w:rFonts w:ascii="Times New Roman" w:cs="Times New Roman" w:eastAsia="Times New Roman" w:hAnsi="Times New Roman"/>
          <w:sz w:val="24"/>
          <w:szCs w:val="24"/>
          <w:highlight w:val="yellow"/>
          <w:rtl w:val="0"/>
        </w:rPr>
        <w:t xml:space="preserve">divergent thinking and convergent thinking</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both of which lead to creative production (</w:t>
      </w:r>
      <w:hyperlink r:id="rId10">
        <w:r w:rsidDel="00000000" w:rsidR="00000000" w:rsidRPr="00000000">
          <w:rPr>
            <w:rFonts w:ascii="Times New Roman" w:cs="Times New Roman" w:eastAsia="Times New Roman" w:hAnsi="Times New Roman"/>
            <w:color w:val="642a8f"/>
            <w:sz w:val="24"/>
            <w:szCs w:val="24"/>
            <w:u w:val="single"/>
            <w:rtl w:val="0"/>
          </w:rPr>
          <w:t xml:space="preserve">Cropley, 2006</w:t>
        </w:r>
      </w:hyperlink>
      <w:r w:rsidDel="00000000" w:rsidR="00000000" w:rsidRPr="00000000">
        <w:rPr>
          <w:rFonts w:ascii="Times New Roman" w:cs="Times New Roman" w:eastAsia="Times New Roman" w:hAnsi="Times New Roman"/>
          <w:sz w:val="24"/>
          <w:szCs w:val="24"/>
          <w:rtl w:val="0"/>
        </w:rPr>
        <w:t xml:space="preserve">). Divergent thinking involves searching through various directions, and multiple solutions to a problem are generated; in convergent thinking, thought is directed to one correct or best solution (</w:t>
      </w:r>
      <w:hyperlink r:id="rId11">
        <w:r w:rsidDel="00000000" w:rsidR="00000000" w:rsidRPr="00000000">
          <w:rPr>
            <w:rFonts w:ascii="Times New Roman" w:cs="Times New Roman" w:eastAsia="Times New Roman" w:hAnsi="Times New Roman"/>
            <w:color w:val="642a8f"/>
            <w:sz w:val="24"/>
            <w:szCs w:val="24"/>
            <w:u w:val="single"/>
            <w:rtl w:val="0"/>
          </w:rPr>
          <w:t xml:space="preserve">Guilford, 1956</w:t>
        </w:r>
      </w:hyperlink>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642a8f"/>
            <w:sz w:val="24"/>
            <w:szCs w:val="24"/>
            <w:u w:val="single"/>
            <w:rtl w:val="0"/>
          </w:rPr>
          <w:t xml:space="preserve">1959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after="160" w:before="160" w:lineRule="auto"/>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Despite the </w:t>
      </w:r>
      <w:commentRangeStart w:id="2"/>
      <w:r w:rsidDel="00000000" w:rsidR="00000000" w:rsidRPr="00000000">
        <w:rPr>
          <w:rFonts w:ascii="Times New Roman" w:cs="Times New Roman" w:eastAsia="Times New Roman" w:hAnsi="Times New Roman"/>
          <w:sz w:val="24"/>
          <w:szCs w:val="24"/>
          <w:highlight w:val="yellow"/>
          <w:rtl w:val="0"/>
        </w:rPr>
        <w:t xml:space="preserve">growing number of studies done on creativity,</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there is still much to be learned (</w:t>
      </w:r>
      <w:hyperlink r:id="rId13">
        <w:r w:rsidDel="00000000" w:rsidR="00000000" w:rsidRPr="00000000">
          <w:rPr>
            <w:rFonts w:ascii="Times New Roman" w:cs="Times New Roman" w:eastAsia="Times New Roman" w:hAnsi="Times New Roman"/>
            <w:color w:val="642a8f"/>
            <w:sz w:val="24"/>
            <w:szCs w:val="24"/>
            <w:u w:val="single"/>
            <w:rtl w:val="0"/>
          </w:rPr>
          <w:t xml:space="preserve">Runco and Albert, 2010</w:t>
        </w:r>
      </w:hyperlink>
      <w:r w:rsidDel="00000000" w:rsidR="00000000" w:rsidRPr="00000000">
        <w:rPr>
          <w:rFonts w:ascii="Times New Roman" w:cs="Times New Roman" w:eastAsia="Times New Roman" w:hAnsi="Times New Roman"/>
          <w:sz w:val="24"/>
          <w:szCs w:val="24"/>
          <w:rtl w:val="0"/>
        </w:rPr>
        <w:t xml:space="preserve">). Throughout the years, researchers have studied creativity from various perspectives, including how individuals’ beliefs influence creativity. The topic of beliefs about creativity has been approached from different angles such as </w:t>
      </w:r>
      <w:commentRangeStart w:id="3"/>
      <w:r w:rsidDel="00000000" w:rsidR="00000000" w:rsidRPr="00000000">
        <w:rPr>
          <w:rFonts w:ascii="Times New Roman" w:cs="Times New Roman" w:eastAsia="Times New Roman" w:hAnsi="Times New Roman"/>
          <w:sz w:val="24"/>
          <w:szCs w:val="24"/>
          <w:highlight w:val="yellow"/>
          <w:rtl w:val="0"/>
        </w:rPr>
        <w:t xml:space="preserve">how people view themselves (i.e., creative self-beliefs) and how people perceive the nature of creativity.</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In this paper, we focuses on creative</w:t>
      </w:r>
      <w:r w:rsidDel="00000000" w:rsidR="00000000" w:rsidRPr="00000000">
        <w:rPr>
          <w:rFonts w:ascii="Times New Roman" w:cs="Times New Roman" w:eastAsia="Times New Roman" w:hAnsi="Times New Roman"/>
          <w:sz w:val="24"/>
          <w:szCs w:val="24"/>
          <w:highlight w:val="yellow"/>
          <w:rtl w:val="0"/>
        </w:rPr>
        <w:t xml:space="preserve"> </w:t>
      </w:r>
      <w:commentRangeStart w:id="4"/>
      <w:r w:rsidDel="00000000" w:rsidR="00000000" w:rsidRPr="00000000">
        <w:rPr>
          <w:rFonts w:ascii="Times New Roman" w:cs="Times New Roman" w:eastAsia="Times New Roman" w:hAnsi="Times New Roman"/>
          <w:sz w:val="24"/>
          <w:szCs w:val="24"/>
          <w:highlight w:val="yellow"/>
          <w:rtl w:val="0"/>
        </w:rPr>
        <w:t xml:space="preserve">self-efficacy</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which is one of the key self-beliefs, and beliefs about the malleable nature of creativity (i.e., creative mindsets) </w:t>
      </w:r>
      <w:commentRangeStart w:id="5"/>
      <w:r w:rsidDel="00000000" w:rsidR="00000000" w:rsidRPr="00000000">
        <w:rPr>
          <w:rFonts w:ascii="Times New Roman" w:cs="Times New Roman" w:eastAsia="Times New Roman" w:hAnsi="Times New Roman"/>
          <w:sz w:val="24"/>
          <w:szCs w:val="24"/>
          <w:highlight w:val="yellow"/>
          <w:rtl w:val="0"/>
        </w:rPr>
        <w:t xml:space="preserve">which have attracted more researchers recently.</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4">
      <w:pPr>
        <w:spacing w:after="160" w:before="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Creative self-efficacy is the belief that one can produce creative outcomes (</w:t>
      </w:r>
      <w:hyperlink r:id="rId14">
        <w:r w:rsidDel="00000000" w:rsidR="00000000" w:rsidRPr="00000000">
          <w:rPr>
            <w:rFonts w:ascii="Times New Roman" w:cs="Times New Roman" w:eastAsia="Times New Roman" w:hAnsi="Times New Roman"/>
            <w:color w:val="642a8f"/>
            <w:sz w:val="24"/>
            <w:szCs w:val="24"/>
            <w:u w:val="single"/>
            <w:rtl w:val="0"/>
          </w:rPr>
          <w:t xml:space="preserve">Tierney and Farmer, 2002</w:t>
        </w:r>
      </w:hyperlink>
      <w:r w:rsidDel="00000000" w:rsidR="00000000" w:rsidRPr="00000000">
        <w:rPr>
          <w:rFonts w:ascii="Times New Roman" w:cs="Times New Roman" w:eastAsia="Times New Roman" w:hAnsi="Times New Roman"/>
          <w:sz w:val="24"/>
          <w:szCs w:val="24"/>
          <w:rtl w:val="0"/>
        </w:rPr>
        <w:t xml:space="preserve">). As in most fields, research on creative self-efficacy has been grounded in</w:t>
      </w:r>
      <w:r w:rsidDel="00000000" w:rsidR="00000000" w:rsidRPr="00000000">
        <w:rPr>
          <w:rFonts w:ascii="Times New Roman" w:cs="Times New Roman" w:eastAsia="Times New Roman" w:hAnsi="Times New Roman"/>
          <w:sz w:val="24"/>
          <w:szCs w:val="24"/>
          <w:highlight w:val="yellow"/>
          <w:rtl w:val="0"/>
        </w:rPr>
        <w:t xml:space="preserve"> </w:t>
      </w:r>
      <w:commentRangeStart w:id="6"/>
      <w:hyperlink r:id="rId15">
        <w:r w:rsidDel="00000000" w:rsidR="00000000" w:rsidRPr="00000000">
          <w:rPr>
            <w:rFonts w:ascii="Times New Roman" w:cs="Times New Roman" w:eastAsia="Times New Roman" w:hAnsi="Times New Roman"/>
            <w:color w:val="642a8f"/>
            <w:sz w:val="24"/>
            <w:szCs w:val="24"/>
            <w:highlight w:val="yellow"/>
            <w:u w:val="single"/>
            <w:rtl w:val="0"/>
          </w:rPr>
          <w:t xml:space="preserve">Bandura’s (1977)</w:t>
        </w:r>
      </w:hyperlink>
      <w:r w:rsidDel="00000000" w:rsidR="00000000" w:rsidRPr="00000000">
        <w:rPr>
          <w:rFonts w:ascii="Times New Roman" w:cs="Times New Roman" w:eastAsia="Times New Roman" w:hAnsi="Times New Roman"/>
          <w:sz w:val="24"/>
          <w:szCs w:val="24"/>
          <w:highlight w:val="yellow"/>
          <w:rtl w:val="0"/>
        </w:rPr>
        <w:t xml:space="preserve"> work on self-efficacy beliefs.</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Within this framework, self-efficacy beliefs determine how efficient people function through cognitive, motivational, affective, and decisional processes (</w:t>
      </w:r>
      <w:hyperlink r:id="rId16">
        <w:r w:rsidDel="00000000" w:rsidR="00000000" w:rsidRPr="00000000">
          <w:rPr>
            <w:rFonts w:ascii="Times New Roman" w:cs="Times New Roman" w:eastAsia="Times New Roman" w:hAnsi="Times New Roman"/>
            <w:color w:val="642a8f"/>
            <w:sz w:val="24"/>
            <w:szCs w:val="24"/>
            <w:u w:val="single"/>
            <w:rtl w:val="0"/>
          </w:rPr>
          <w:t xml:space="preserve">Bandura, 1993</w:t>
        </w:r>
      </w:hyperlink>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642a8f"/>
            <w:sz w:val="24"/>
            <w:szCs w:val="24"/>
            <w:u w:val="single"/>
            <w:rtl w:val="0"/>
          </w:rPr>
          <w:t xml:space="preserve">2011</w:t>
        </w:r>
      </w:hyperlink>
      <w:r w:rsidDel="00000000" w:rsidR="00000000" w:rsidRPr="00000000">
        <w:rPr>
          <w:rFonts w:ascii="Times New Roman" w:cs="Times New Roman" w:eastAsia="Times New Roman" w:hAnsi="Times New Roman"/>
          <w:sz w:val="24"/>
          <w:szCs w:val="24"/>
          <w:rtl w:val="0"/>
        </w:rPr>
        <w:t xml:space="preserve">). Self-beliefs of efficacy influence how much effort people put into a task, how persistent they are, and what task choices they prefer (</w:t>
      </w:r>
      <w:hyperlink r:id="rId18">
        <w:r w:rsidDel="00000000" w:rsidR="00000000" w:rsidRPr="00000000">
          <w:rPr>
            <w:rFonts w:ascii="Times New Roman" w:cs="Times New Roman" w:eastAsia="Times New Roman" w:hAnsi="Times New Roman"/>
            <w:color w:val="642a8f"/>
            <w:sz w:val="24"/>
            <w:szCs w:val="24"/>
            <w:u w:val="single"/>
            <w:rtl w:val="0"/>
          </w:rPr>
          <w:t xml:space="preserve">Bandura, 1977</w:t>
        </w:r>
      </w:hyperlink>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642a8f"/>
            <w:sz w:val="24"/>
            <w:szCs w:val="24"/>
            <w:u w:val="single"/>
            <w:rtl w:val="0"/>
          </w:rPr>
          <w:t xml:space="preserve">Zimmerman, 2000b</w:t>
        </w:r>
      </w:hyperlink>
      <w:r w:rsidDel="00000000" w:rsidR="00000000" w:rsidRPr="00000000">
        <w:rPr>
          <w:rFonts w:ascii="Times New Roman" w:cs="Times New Roman" w:eastAsia="Times New Roman" w:hAnsi="Times New Roman"/>
          <w:sz w:val="24"/>
          <w:szCs w:val="24"/>
          <w:rtl w:val="0"/>
        </w:rPr>
        <w:t xml:space="preserve">; </w:t>
      </w:r>
      <w:hyperlink r:id="rId20">
        <w:r w:rsidDel="00000000" w:rsidR="00000000" w:rsidRPr="00000000">
          <w:rPr>
            <w:rFonts w:ascii="Times New Roman" w:cs="Times New Roman" w:eastAsia="Times New Roman" w:hAnsi="Times New Roman"/>
            <w:color w:val="642a8f"/>
            <w:sz w:val="24"/>
            <w:szCs w:val="24"/>
            <w:u w:val="single"/>
            <w:rtl w:val="0"/>
          </w:rPr>
          <w:t xml:space="preserve">Schunk and DiBenedetto, 2016</w:t>
        </w:r>
      </w:hyperlink>
      <w:r w:rsidDel="00000000" w:rsidR="00000000" w:rsidRPr="00000000">
        <w:rPr>
          <w:rFonts w:ascii="Times New Roman" w:cs="Times New Roman" w:eastAsia="Times New Roman" w:hAnsi="Times New Roman"/>
          <w:sz w:val="24"/>
          <w:szCs w:val="24"/>
          <w:rtl w:val="0"/>
        </w:rPr>
        <w:t xml:space="preserve">). </w:t>
      </w:r>
      <w:commentRangeStart w:id="7"/>
      <w:r w:rsidDel="00000000" w:rsidR="00000000" w:rsidRPr="00000000">
        <w:rPr>
          <w:rFonts w:ascii="Times New Roman" w:cs="Times New Roman" w:eastAsia="Times New Roman" w:hAnsi="Times New Roman"/>
          <w:sz w:val="24"/>
          <w:szCs w:val="24"/>
          <w:highlight w:val="yellow"/>
          <w:rtl w:val="0"/>
        </w:rPr>
        <w:t xml:space="preserve">When facing a challenge, people gauge their capacity to keep themselves motivated, focus on the task at hand, and manage negative thoughts and feelings </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w:t>
      </w:r>
      <w:hyperlink r:id="rId21">
        <w:r w:rsidDel="00000000" w:rsidR="00000000" w:rsidRPr="00000000">
          <w:rPr>
            <w:rFonts w:ascii="Times New Roman" w:cs="Times New Roman" w:eastAsia="Times New Roman" w:hAnsi="Times New Roman"/>
            <w:color w:val="642a8f"/>
            <w:sz w:val="24"/>
            <w:szCs w:val="24"/>
            <w:u w:val="single"/>
            <w:rtl w:val="0"/>
          </w:rPr>
          <w:t xml:space="preserve">Bandura and Locke, 2003</w:t>
        </w:r>
      </w:hyperlink>
      <w:r w:rsidDel="00000000" w:rsidR="00000000" w:rsidRPr="00000000">
        <w:rPr>
          <w:rFonts w:ascii="Times New Roman" w:cs="Times New Roman" w:eastAsia="Times New Roman" w:hAnsi="Times New Roman"/>
          <w:sz w:val="24"/>
          <w:szCs w:val="24"/>
          <w:rtl w:val="0"/>
        </w:rPr>
        <w:t xml:space="preserve">). </w:t>
      </w:r>
      <w:commentRangeStart w:id="8"/>
      <w:r w:rsidDel="00000000" w:rsidR="00000000" w:rsidRPr="00000000">
        <w:rPr>
          <w:rFonts w:ascii="Times New Roman" w:cs="Times New Roman" w:eastAsia="Times New Roman" w:hAnsi="Times New Roman"/>
          <w:sz w:val="24"/>
          <w:szCs w:val="24"/>
          <w:highlight w:val="yellow"/>
          <w:rtl w:val="0"/>
        </w:rPr>
        <w:t xml:space="preserve">Self-efficacy and performance mutually influence each other</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color w:val="642a8f"/>
            <w:sz w:val="24"/>
            <w:szCs w:val="24"/>
            <w:u w:val="single"/>
            <w:rtl w:val="0"/>
          </w:rPr>
          <w:t xml:space="preserve">Bandura, 1989</w:t>
        </w:r>
      </w:hyperlink>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color w:val="642a8f"/>
            <w:sz w:val="24"/>
            <w:szCs w:val="24"/>
            <w:u w:val="single"/>
            <w:rtl w:val="0"/>
          </w:rPr>
          <w:t xml:space="preserve">Williams and Williams, 2010</w:t>
        </w:r>
      </w:hyperlink>
      <w:r w:rsidDel="00000000" w:rsidR="00000000" w:rsidRPr="00000000">
        <w:rPr>
          <w:rFonts w:ascii="Times New Roman" w:cs="Times New Roman" w:eastAsia="Times New Roman" w:hAnsi="Times New Roman"/>
          <w:sz w:val="24"/>
          <w:szCs w:val="24"/>
          <w:rtl w:val="0"/>
        </w:rPr>
        <w:t xml:space="preserve">). Past experiences shape people’s current beliefs and their current beliefs drive their future actions.</w:t>
      </w:r>
    </w:p>
    <w:p w:rsidR="00000000" w:rsidDel="00000000" w:rsidP="00000000" w:rsidRDefault="00000000" w:rsidRPr="00000000" w14:paraId="00000005">
      <w:pPr>
        <w:spacing w:after="160" w:before="160" w:lineRule="auto"/>
        <w:contextualSpacing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Previous research has revealed evidence of the association between creative self-efficacy and creativity as assessed by various measures. For instance, in organizational settings, </w:t>
      </w:r>
      <w:hyperlink r:id="rId24">
        <w:r w:rsidDel="00000000" w:rsidR="00000000" w:rsidRPr="00000000">
          <w:rPr>
            <w:rFonts w:ascii="Times New Roman" w:cs="Times New Roman" w:eastAsia="Times New Roman" w:hAnsi="Times New Roman"/>
            <w:color w:val="642a8f"/>
            <w:sz w:val="24"/>
            <w:szCs w:val="24"/>
            <w:u w:val="single"/>
            <w:rtl w:val="0"/>
          </w:rPr>
          <w:t xml:space="preserve">Michael et al. (2011)</w:t>
        </w:r>
      </w:hyperlink>
      <w:r w:rsidDel="00000000" w:rsidR="00000000" w:rsidRPr="00000000">
        <w:rPr>
          <w:rFonts w:ascii="Times New Roman" w:cs="Times New Roman" w:eastAsia="Times New Roman" w:hAnsi="Times New Roman"/>
          <w:sz w:val="24"/>
          <w:szCs w:val="24"/>
          <w:rtl w:val="0"/>
        </w:rPr>
        <w:t xml:space="preserve"> found that employees’ creative self-efficacy was positively related to their self-reported innovative behaviors. </w:t>
      </w:r>
      <w:commentRangeStart w:id="9"/>
      <w:r w:rsidDel="00000000" w:rsidR="00000000" w:rsidRPr="00000000">
        <w:rPr>
          <w:rFonts w:ascii="Times New Roman" w:cs="Times New Roman" w:eastAsia="Times New Roman" w:hAnsi="Times New Roman"/>
          <w:sz w:val="24"/>
          <w:szCs w:val="24"/>
          <w:highlight w:val="yellow"/>
          <w:rtl w:val="0"/>
        </w:rPr>
        <w:t xml:space="preserve">Studies by </w:t>
      </w:r>
      <w:hyperlink r:id="rId25">
        <w:r w:rsidDel="00000000" w:rsidR="00000000" w:rsidRPr="00000000">
          <w:rPr>
            <w:rFonts w:ascii="Times New Roman" w:cs="Times New Roman" w:eastAsia="Times New Roman" w:hAnsi="Times New Roman"/>
            <w:color w:val="642a8f"/>
            <w:sz w:val="24"/>
            <w:szCs w:val="24"/>
            <w:highlight w:val="yellow"/>
            <w:u w:val="single"/>
            <w:rtl w:val="0"/>
          </w:rPr>
          <w:t xml:space="preserve">Tierney and Farmer (2002</w:t>
        </w:r>
      </w:hyperlink>
      <w:r w:rsidDel="00000000" w:rsidR="00000000" w:rsidRPr="00000000">
        <w:rPr>
          <w:rFonts w:ascii="Times New Roman" w:cs="Times New Roman" w:eastAsia="Times New Roman" w:hAnsi="Times New Roman"/>
          <w:sz w:val="24"/>
          <w:szCs w:val="24"/>
          <w:highlight w:val="yellow"/>
          <w:rtl w:val="0"/>
        </w:rPr>
        <w:t xml:space="preserve">, </w:t>
      </w:r>
      <w:hyperlink r:id="rId26">
        <w:r w:rsidDel="00000000" w:rsidR="00000000" w:rsidRPr="00000000">
          <w:rPr>
            <w:rFonts w:ascii="Times New Roman" w:cs="Times New Roman" w:eastAsia="Times New Roman" w:hAnsi="Times New Roman"/>
            <w:color w:val="642a8f"/>
            <w:sz w:val="24"/>
            <w:szCs w:val="24"/>
            <w:highlight w:val="yellow"/>
            <w:u w:val="single"/>
            <w:rtl w:val="0"/>
          </w:rPr>
          <w:t xml:space="preserve">2011</w:t>
        </w:r>
      </w:hyperlink>
      <w:r w:rsidDel="00000000" w:rsidR="00000000" w:rsidRPr="00000000">
        <w:rPr>
          <w:rFonts w:ascii="Times New Roman" w:cs="Times New Roman" w:eastAsia="Times New Roman" w:hAnsi="Times New Roman"/>
          <w:sz w:val="24"/>
          <w:szCs w:val="24"/>
          <w:highlight w:val="yellow"/>
          <w:rtl w:val="0"/>
        </w:rPr>
        <w:t xml:space="preserve">) also demonstrated that employees with high levels of creative self-efficacy tended to be rated with high levels of creativity by their supervisors as well. In school contexts</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color w:val="642a8f"/>
            <w:sz w:val="24"/>
            <w:szCs w:val="24"/>
            <w:u w:val="single"/>
            <w:rtl w:val="0"/>
          </w:rPr>
          <w:t xml:space="preserve">Beghetto et al. (2011)</w:t>
        </w:r>
      </w:hyperlink>
      <w:r w:rsidDel="00000000" w:rsidR="00000000" w:rsidRPr="00000000">
        <w:rPr>
          <w:rFonts w:ascii="Times New Roman" w:cs="Times New Roman" w:eastAsia="Times New Roman" w:hAnsi="Times New Roman"/>
          <w:sz w:val="24"/>
          <w:szCs w:val="24"/>
          <w:rtl w:val="0"/>
        </w:rPr>
        <w:t xml:space="preserve"> investigated elementary school students’ self-efficacy in creativity and found more self-efficacious students were given higher ratings of creative expression by their teachers. </w:t>
      </w:r>
      <w:hyperlink r:id="rId28">
        <w:r w:rsidDel="00000000" w:rsidR="00000000" w:rsidRPr="00000000">
          <w:rPr>
            <w:rFonts w:ascii="Times New Roman" w:cs="Times New Roman" w:eastAsia="Times New Roman" w:hAnsi="Times New Roman"/>
            <w:color w:val="642a8f"/>
            <w:sz w:val="24"/>
            <w:szCs w:val="24"/>
            <w:u w:val="single"/>
            <w:rtl w:val="0"/>
          </w:rPr>
          <w:t xml:space="preserve">Karwowski (2011)</w:t>
        </w:r>
      </w:hyperlink>
      <w:r w:rsidDel="00000000" w:rsidR="00000000" w:rsidRPr="00000000">
        <w:rPr>
          <w:rFonts w:ascii="Times New Roman" w:cs="Times New Roman" w:eastAsia="Times New Roman" w:hAnsi="Times New Roman"/>
          <w:sz w:val="24"/>
          <w:szCs w:val="24"/>
          <w:rtl w:val="0"/>
        </w:rPr>
        <w:t xml:space="preserve"> studied high school and gymnasia students’ creative self-efficacy. Using an unfinished, framed drawing task as a measure of divergent thinking, Karwowski also found a positive link between students’ self-efficacy and their performance of the task. </w:t>
      </w:r>
      <w:commentRangeStart w:id="10"/>
      <w:r w:rsidDel="00000000" w:rsidR="00000000" w:rsidRPr="00000000">
        <w:rPr>
          <w:rFonts w:ascii="Times New Roman" w:cs="Times New Roman" w:eastAsia="Times New Roman" w:hAnsi="Times New Roman"/>
          <w:sz w:val="24"/>
          <w:szCs w:val="24"/>
          <w:highlight w:val="yellow"/>
          <w:rtl w:val="0"/>
        </w:rPr>
        <w:t xml:space="preserve">Based on prior research, the connection between creative self-efficacy and creativity is quite promising.</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06">
      <w:pPr>
        <w:spacing w:after="160" w:before="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creative self-efficacy, </w:t>
      </w:r>
      <w:commentRangeStart w:id="11"/>
      <w:r w:rsidDel="00000000" w:rsidR="00000000" w:rsidRPr="00000000">
        <w:rPr>
          <w:rFonts w:ascii="Times New Roman" w:cs="Times New Roman" w:eastAsia="Times New Roman" w:hAnsi="Times New Roman"/>
          <w:sz w:val="24"/>
          <w:szCs w:val="24"/>
          <w:highlight w:val="yellow"/>
          <w:rtl w:val="0"/>
        </w:rPr>
        <w:t xml:space="preserve">creative mindsets are not self-beliefs but rather implicit theories concerning the source and nature of creativity</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w:t>
      </w:r>
      <w:hyperlink r:id="rId29">
        <w:r w:rsidDel="00000000" w:rsidR="00000000" w:rsidRPr="00000000">
          <w:rPr>
            <w:rFonts w:ascii="Times New Roman" w:cs="Times New Roman" w:eastAsia="Times New Roman" w:hAnsi="Times New Roman"/>
            <w:color w:val="642a8f"/>
            <w:sz w:val="24"/>
            <w:szCs w:val="24"/>
            <w:u w:val="single"/>
            <w:rtl w:val="0"/>
          </w:rPr>
          <w:t xml:space="preserve">Karwowski and Brzeski, 2017</w:t>
        </w:r>
      </w:hyperlink>
      <w:r w:rsidDel="00000000" w:rsidR="00000000" w:rsidRPr="00000000">
        <w:rPr>
          <w:rFonts w:ascii="Times New Roman" w:cs="Times New Roman" w:eastAsia="Times New Roman" w:hAnsi="Times New Roman"/>
          <w:sz w:val="24"/>
          <w:szCs w:val="24"/>
          <w:rtl w:val="0"/>
        </w:rPr>
        <w:t xml:space="preserve">). The work of Dweck and her colleagues on malleability beliefs has guided research on creative mindsets (e.g., </w:t>
      </w:r>
      <w:hyperlink r:id="rId30">
        <w:r w:rsidDel="00000000" w:rsidR="00000000" w:rsidRPr="00000000">
          <w:rPr>
            <w:rFonts w:ascii="Times New Roman" w:cs="Times New Roman" w:eastAsia="Times New Roman" w:hAnsi="Times New Roman"/>
            <w:color w:val="642a8f"/>
            <w:sz w:val="24"/>
            <w:szCs w:val="24"/>
            <w:u w:val="single"/>
            <w:rtl w:val="0"/>
          </w:rPr>
          <w:t xml:space="preserve">Dweck and Leggett, 1988</w:t>
        </w:r>
      </w:hyperlink>
      <w:r w:rsidDel="00000000" w:rsidR="00000000" w:rsidRPr="00000000">
        <w:rPr>
          <w:rFonts w:ascii="Times New Roman" w:cs="Times New Roman" w:eastAsia="Times New Roman" w:hAnsi="Times New Roman"/>
          <w:sz w:val="24"/>
          <w:szCs w:val="24"/>
          <w:rtl w:val="0"/>
        </w:rPr>
        <w:t xml:space="preserve">; </w:t>
      </w:r>
      <w:hyperlink r:id="rId31">
        <w:r w:rsidDel="00000000" w:rsidR="00000000" w:rsidRPr="00000000">
          <w:rPr>
            <w:rFonts w:ascii="Times New Roman" w:cs="Times New Roman" w:eastAsia="Times New Roman" w:hAnsi="Times New Roman"/>
            <w:color w:val="642a8f"/>
            <w:sz w:val="24"/>
            <w:szCs w:val="24"/>
            <w:u w:val="single"/>
            <w:rtl w:val="0"/>
          </w:rPr>
          <w:t xml:space="preserve">Mueller and Dweck, 1998</w:t>
        </w:r>
      </w:hyperlink>
      <w:r w:rsidDel="00000000" w:rsidR="00000000" w:rsidRPr="00000000">
        <w:rPr>
          <w:rFonts w:ascii="Times New Roman" w:cs="Times New Roman" w:eastAsia="Times New Roman" w:hAnsi="Times New Roman"/>
          <w:sz w:val="24"/>
          <w:szCs w:val="24"/>
          <w:rtl w:val="0"/>
        </w:rPr>
        <w:t xml:space="preserve">; </w:t>
      </w:r>
      <w:hyperlink r:id="rId32">
        <w:r w:rsidDel="00000000" w:rsidR="00000000" w:rsidRPr="00000000">
          <w:rPr>
            <w:rFonts w:ascii="Times New Roman" w:cs="Times New Roman" w:eastAsia="Times New Roman" w:hAnsi="Times New Roman"/>
            <w:color w:val="642a8f"/>
            <w:sz w:val="24"/>
            <w:szCs w:val="24"/>
            <w:u w:val="single"/>
            <w:rtl w:val="0"/>
          </w:rPr>
          <w:t xml:space="preserve">Hong et al., 1999</w:t>
        </w:r>
      </w:hyperlink>
      <w:r w:rsidDel="00000000" w:rsidR="00000000" w:rsidRPr="00000000">
        <w:rPr>
          <w:rFonts w:ascii="Times New Roman" w:cs="Times New Roman" w:eastAsia="Times New Roman" w:hAnsi="Times New Roman"/>
          <w:sz w:val="24"/>
          <w:szCs w:val="24"/>
          <w:rtl w:val="0"/>
        </w:rPr>
        <w:t xml:space="preserve">). According to their research, </w:t>
      </w:r>
      <w:commentRangeStart w:id="12"/>
      <w:r w:rsidDel="00000000" w:rsidR="00000000" w:rsidRPr="00000000">
        <w:rPr>
          <w:rFonts w:ascii="Times New Roman" w:cs="Times New Roman" w:eastAsia="Times New Roman" w:hAnsi="Times New Roman"/>
          <w:sz w:val="24"/>
          <w:szCs w:val="24"/>
          <w:highlight w:val="yellow"/>
          <w:rtl w:val="0"/>
        </w:rPr>
        <w:t xml:space="preserve">it makes a difference whether people believe that a certain attribute is fixed or unchangeable (fixed beliefs) or that a certain attribute is developable through hard work </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(incremental beliefs). When engaging in a task,</w:t>
      </w:r>
      <w:commentRangeStart w:id="13"/>
      <w:r w:rsidDel="00000000" w:rsidR="00000000" w:rsidRPr="00000000">
        <w:rPr>
          <w:rFonts w:ascii="Times New Roman" w:cs="Times New Roman" w:eastAsia="Times New Roman" w:hAnsi="Times New Roman"/>
          <w:sz w:val="24"/>
          <w:szCs w:val="24"/>
          <w:highlight w:val="yellow"/>
          <w:rtl w:val="0"/>
        </w:rPr>
        <w:t xml:space="preserve"> people with fixed beliefs attribute their success or failure to the presence or lack of ability</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 conversely, people with incremental beliefs ascribe the task outcome to effort (</w:t>
      </w:r>
      <w:hyperlink r:id="rId33">
        <w:r w:rsidDel="00000000" w:rsidR="00000000" w:rsidRPr="00000000">
          <w:rPr>
            <w:rFonts w:ascii="Times New Roman" w:cs="Times New Roman" w:eastAsia="Times New Roman" w:hAnsi="Times New Roman"/>
            <w:color w:val="642a8f"/>
            <w:sz w:val="24"/>
            <w:szCs w:val="24"/>
            <w:u w:val="single"/>
            <w:rtl w:val="0"/>
          </w:rPr>
          <w:t xml:space="preserve">Hong et al., 1999</w:t>
        </w:r>
      </w:hyperlink>
      <w:r w:rsidDel="00000000" w:rsidR="00000000" w:rsidRPr="00000000">
        <w:rPr>
          <w:rFonts w:ascii="Times New Roman" w:cs="Times New Roman" w:eastAsia="Times New Roman" w:hAnsi="Times New Roman"/>
          <w:sz w:val="24"/>
          <w:szCs w:val="24"/>
          <w:rtl w:val="0"/>
        </w:rPr>
        <w:t xml:space="preserve">; </w:t>
      </w:r>
      <w:hyperlink r:id="rId34">
        <w:r w:rsidDel="00000000" w:rsidR="00000000" w:rsidRPr="00000000">
          <w:rPr>
            <w:rFonts w:ascii="Times New Roman" w:cs="Times New Roman" w:eastAsia="Times New Roman" w:hAnsi="Times New Roman"/>
            <w:color w:val="642a8f"/>
            <w:sz w:val="24"/>
            <w:szCs w:val="24"/>
            <w:u w:val="single"/>
            <w:rtl w:val="0"/>
          </w:rPr>
          <w:t xml:space="preserve">Haimovitz and Dweck, 2017</w:t>
        </w:r>
      </w:hyperlink>
      <w:r w:rsidDel="00000000" w:rsidR="00000000" w:rsidRPr="00000000">
        <w:rPr>
          <w:rFonts w:ascii="Times New Roman" w:cs="Times New Roman" w:eastAsia="Times New Roman" w:hAnsi="Times New Roman"/>
          <w:sz w:val="24"/>
          <w:szCs w:val="24"/>
          <w:rtl w:val="0"/>
        </w:rPr>
        <w:t xml:space="preserve">). As such, holding incremental beliefs is linked to desirable behaviors such as persistence, adoption of adaptive goals, and resilience in the face of setbacks (</w:t>
      </w:r>
      <w:hyperlink r:id="rId35">
        <w:r w:rsidDel="00000000" w:rsidR="00000000" w:rsidRPr="00000000">
          <w:rPr>
            <w:rFonts w:ascii="Times New Roman" w:cs="Times New Roman" w:eastAsia="Times New Roman" w:hAnsi="Times New Roman"/>
            <w:color w:val="642a8f"/>
            <w:sz w:val="24"/>
            <w:szCs w:val="24"/>
            <w:u w:val="single"/>
            <w:rtl w:val="0"/>
          </w:rPr>
          <w:t xml:space="preserve">Mueller and Dweck, 1998</w:t>
        </w:r>
      </w:hyperlink>
      <w:r w:rsidDel="00000000" w:rsidR="00000000" w:rsidRPr="00000000">
        <w:rPr>
          <w:rFonts w:ascii="Times New Roman" w:cs="Times New Roman" w:eastAsia="Times New Roman" w:hAnsi="Times New Roman"/>
          <w:sz w:val="24"/>
          <w:szCs w:val="24"/>
          <w:rtl w:val="0"/>
        </w:rPr>
        <w:t xml:space="preserve">; </w:t>
      </w:r>
      <w:hyperlink r:id="rId36">
        <w:r w:rsidDel="00000000" w:rsidR="00000000" w:rsidRPr="00000000">
          <w:rPr>
            <w:rFonts w:ascii="Times New Roman" w:cs="Times New Roman" w:eastAsia="Times New Roman" w:hAnsi="Times New Roman"/>
            <w:color w:val="642a8f"/>
            <w:sz w:val="24"/>
            <w:szCs w:val="24"/>
            <w:u w:val="single"/>
            <w:rtl w:val="0"/>
          </w:rPr>
          <w:t xml:space="preserve">Yeager and Dweck, 2012</w:t>
        </w:r>
      </w:hyperlink>
      <w:r w:rsidDel="00000000" w:rsidR="00000000" w:rsidRPr="00000000">
        <w:rPr>
          <w:rFonts w:ascii="Times New Roman" w:cs="Times New Roman" w:eastAsia="Times New Roman" w:hAnsi="Times New Roman"/>
          <w:sz w:val="24"/>
          <w:szCs w:val="24"/>
          <w:rtl w:val="0"/>
        </w:rPr>
        <w:t xml:space="preserve">). </w:t>
      </w:r>
      <w:commentRangeStart w:id="14"/>
      <w:r w:rsidDel="00000000" w:rsidR="00000000" w:rsidRPr="00000000">
        <w:rPr>
          <w:rFonts w:ascii="Times New Roman" w:cs="Times New Roman" w:eastAsia="Times New Roman" w:hAnsi="Times New Roman"/>
          <w:sz w:val="24"/>
          <w:szCs w:val="24"/>
          <w:highlight w:val="yellow"/>
          <w:rtl w:val="0"/>
        </w:rPr>
        <w:t xml:space="preserve">Holding fixed beliefs, on the other hand, is related to maladaptive behaviors such as learned helplessness</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w:t>
      </w:r>
      <w:hyperlink r:id="rId37">
        <w:r w:rsidDel="00000000" w:rsidR="00000000" w:rsidRPr="00000000">
          <w:rPr>
            <w:rFonts w:ascii="Times New Roman" w:cs="Times New Roman" w:eastAsia="Times New Roman" w:hAnsi="Times New Roman"/>
            <w:color w:val="642a8f"/>
            <w:sz w:val="24"/>
            <w:szCs w:val="24"/>
            <w:u w:val="single"/>
            <w:rtl w:val="0"/>
          </w:rPr>
          <w:t xml:space="preserve">Hong et al., 1999</w:t>
        </w:r>
      </w:hyperlink>
      <w:r w:rsidDel="00000000" w:rsidR="00000000" w:rsidRPr="00000000">
        <w:rPr>
          <w:rFonts w:ascii="Times New Roman" w:cs="Times New Roman" w:eastAsia="Times New Roman" w:hAnsi="Times New Roman"/>
          <w:sz w:val="24"/>
          <w:szCs w:val="24"/>
          <w:rtl w:val="0"/>
        </w:rPr>
        <w:t xml:space="preserve">). Compared to fixed beliefs, therefore, incremental beliefs lead to achievement in the long term (</w:t>
      </w:r>
      <w:hyperlink r:id="rId38">
        <w:r w:rsidDel="00000000" w:rsidR="00000000" w:rsidRPr="00000000">
          <w:rPr>
            <w:rFonts w:ascii="Times New Roman" w:cs="Times New Roman" w:eastAsia="Times New Roman" w:hAnsi="Times New Roman"/>
            <w:color w:val="642a8f"/>
            <w:sz w:val="24"/>
            <w:szCs w:val="24"/>
            <w:u w:val="single"/>
            <w:rtl w:val="0"/>
          </w:rPr>
          <w:t xml:space="preserve">Blackwell et al., 2007</w:t>
        </w:r>
      </w:hyperlink>
      <w:r w:rsidDel="00000000" w:rsidR="00000000" w:rsidRPr="00000000">
        <w:rPr>
          <w:rFonts w:ascii="Times New Roman" w:cs="Times New Roman" w:eastAsia="Times New Roman" w:hAnsi="Times New Roman"/>
          <w:sz w:val="24"/>
          <w:szCs w:val="24"/>
          <w:rtl w:val="0"/>
        </w:rPr>
        <w:t xml:space="preserve">). </w:t>
      </w:r>
      <w:hyperlink r:id="rId39">
        <w:r w:rsidDel="00000000" w:rsidR="00000000" w:rsidRPr="00000000">
          <w:rPr>
            <w:rFonts w:ascii="Times New Roman" w:cs="Times New Roman" w:eastAsia="Times New Roman" w:hAnsi="Times New Roman"/>
            <w:color w:val="642a8f"/>
            <w:sz w:val="24"/>
            <w:szCs w:val="24"/>
            <w:u w:val="single"/>
            <w:rtl w:val="0"/>
          </w:rPr>
          <w:t xml:space="preserve">Dweck (2006)</w:t>
        </w:r>
      </w:hyperlink>
      <w:r w:rsidDel="00000000" w:rsidR="00000000" w:rsidRPr="00000000">
        <w:rPr>
          <w:rFonts w:ascii="Times New Roman" w:cs="Times New Roman" w:eastAsia="Times New Roman" w:hAnsi="Times New Roman"/>
          <w:sz w:val="24"/>
          <w:szCs w:val="24"/>
          <w:rtl w:val="0"/>
        </w:rPr>
        <w:t xml:space="preserve"> has introduced the terms “growth mindsets” and “fixed mindsets.” People with incremental beliefs endorse a growth mindset, while people with fixed beliefs endorse a fixed mindset. In this paper, the term “creative mindsets” is used to refer to beliefs concerning the malleable nature of creativity.</w:t>
      </w:r>
    </w:p>
    <w:p w:rsidR="00000000" w:rsidDel="00000000" w:rsidP="00000000" w:rsidRDefault="00000000" w:rsidRPr="00000000" w14:paraId="00000007">
      <w:pPr>
        <w:spacing w:after="160" w:before="160" w:lineRule="auto"/>
        <w:contextualSpacing w:val="0"/>
        <w:rPr>
          <w:rFonts w:ascii="Times New Roman" w:cs="Times New Roman" w:eastAsia="Times New Roman" w:hAnsi="Times New Roman"/>
          <w:sz w:val="24"/>
          <w:szCs w:val="24"/>
          <w:highlight w:val="yellow"/>
        </w:rPr>
      </w:pPr>
      <w:commentRangeStart w:id="15"/>
      <w:r w:rsidDel="00000000" w:rsidR="00000000" w:rsidRPr="00000000">
        <w:rPr>
          <w:rFonts w:ascii="Times New Roman" w:cs="Times New Roman" w:eastAsia="Times New Roman" w:hAnsi="Times New Roman"/>
          <w:sz w:val="24"/>
          <w:szCs w:val="24"/>
          <w:highlight w:val="yellow"/>
          <w:rtl w:val="0"/>
        </w:rPr>
        <w:t xml:space="preserve">The concept of creative mindsets is relatively new</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As a result, the connections between creative mindsets and creativity have been explored less than creative self-efficacy has. </w:t>
      </w:r>
      <w:hyperlink r:id="rId40">
        <w:r w:rsidDel="00000000" w:rsidR="00000000" w:rsidRPr="00000000">
          <w:rPr>
            <w:rFonts w:ascii="Times New Roman" w:cs="Times New Roman" w:eastAsia="Times New Roman" w:hAnsi="Times New Roman"/>
            <w:color w:val="642a8f"/>
            <w:sz w:val="24"/>
            <w:szCs w:val="24"/>
            <w:u w:val="single"/>
            <w:rtl w:val="0"/>
          </w:rPr>
          <w:t xml:space="preserve">O’Connor et al. (2013)</w:t>
        </w:r>
      </w:hyperlink>
      <w:r w:rsidDel="00000000" w:rsidR="00000000" w:rsidRPr="00000000">
        <w:rPr>
          <w:rFonts w:ascii="Times New Roman" w:cs="Times New Roman" w:eastAsia="Times New Roman" w:hAnsi="Times New Roman"/>
          <w:sz w:val="24"/>
          <w:szCs w:val="24"/>
          <w:rtl w:val="0"/>
        </w:rPr>
        <w:t xml:space="preserve"> conducted a series of studies to examine creative mindsets and creativity. Using their self-developed scale, they found that the creative growth mindset positively predicted interest in creative thinking, creative performance as assessed by the Unusual Uses Task (also known as the Alternative Uses Task), self-reported creativity (Study 1), and prior creative achievements across various domains (Study 2). Manipulation of creative mindsets (Study 3) also demonstrated that participants in the growth-mindset-induced group performed better in the Unusual Uses Task. </w:t>
      </w:r>
      <w:commentRangeStart w:id="16"/>
      <w:r w:rsidDel="00000000" w:rsidR="00000000" w:rsidRPr="00000000">
        <w:rPr>
          <w:rFonts w:ascii="Times New Roman" w:cs="Times New Roman" w:eastAsia="Times New Roman" w:hAnsi="Times New Roman"/>
          <w:sz w:val="24"/>
          <w:szCs w:val="24"/>
          <w:highlight w:val="yellow"/>
          <w:rtl w:val="0"/>
        </w:rPr>
        <w:t xml:space="preserve">This study provided evidence that creative mindsets affect creative performance</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 </w:t>
      </w:r>
      <w:hyperlink r:id="rId41">
        <w:r w:rsidDel="00000000" w:rsidR="00000000" w:rsidRPr="00000000">
          <w:rPr>
            <w:rFonts w:ascii="Times New Roman" w:cs="Times New Roman" w:eastAsia="Times New Roman" w:hAnsi="Times New Roman"/>
            <w:color w:val="642a8f"/>
            <w:sz w:val="24"/>
            <w:szCs w:val="24"/>
            <w:u w:val="single"/>
            <w:rtl w:val="0"/>
          </w:rPr>
          <w:t xml:space="preserve">Karwowski (2014)</w:t>
        </w:r>
      </w:hyperlink>
      <w:r w:rsidDel="00000000" w:rsidR="00000000" w:rsidRPr="00000000">
        <w:rPr>
          <w:rFonts w:ascii="Times New Roman" w:cs="Times New Roman" w:eastAsia="Times New Roman" w:hAnsi="Times New Roman"/>
          <w:sz w:val="24"/>
          <w:szCs w:val="24"/>
          <w:rtl w:val="0"/>
        </w:rPr>
        <w:t xml:space="preserve"> developed a scale to measure creative mindsets and examined their relations to creative problem-solving as measured by insight problems. He found that the </w:t>
      </w:r>
      <w:commentRangeStart w:id="17"/>
      <w:r w:rsidDel="00000000" w:rsidR="00000000" w:rsidRPr="00000000">
        <w:rPr>
          <w:rFonts w:ascii="Times New Roman" w:cs="Times New Roman" w:eastAsia="Times New Roman" w:hAnsi="Times New Roman"/>
          <w:sz w:val="24"/>
          <w:szCs w:val="24"/>
          <w:highlight w:val="yellow"/>
          <w:rtl w:val="0"/>
        </w:rPr>
        <w:t xml:space="preserve">fixed mindset was related to inefficient problem-solving performance.</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08">
      <w:pPr>
        <w:spacing w:after="160" w:before="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using different instruments to measure creativity and creative mindsets, </w:t>
      </w:r>
      <w:hyperlink r:id="rId42">
        <w:r w:rsidDel="00000000" w:rsidR="00000000" w:rsidRPr="00000000">
          <w:rPr>
            <w:rFonts w:ascii="Times New Roman" w:cs="Times New Roman" w:eastAsia="Times New Roman" w:hAnsi="Times New Roman"/>
            <w:color w:val="642a8f"/>
            <w:sz w:val="24"/>
            <w:szCs w:val="24"/>
            <w:u w:val="single"/>
            <w:rtl w:val="0"/>
          </w:rPr>
          <w:t xml:space="preserve">O’Connor et al. (2013)</w:t>
        </w:r>
      </w:hyperlink>
      <w:r w:rsidDel="00000000" w:rsidR="00000000" w:rsidRPr="00000000">
        <w:rPr>
          <w:rFonts w:ascii="Times New Roman" w:cs="Times New Roman" w:eastAsia="Times New Roman" w:hAnsi="Times New Roman"/>
          <w:sz w:val="24"/>
          <w:szCs w:val="24"/>
          <w:rtl w:val="0"/>
        </w:rPr>
        <w:t xml:space="preserve"> and </w:t>
      </w:r>
      <w:hyperlink r:id="rId43">
        <w:r w:rsidDel="00000000" w:rsidR="00000000" w:rsidRPr="00000000">
          <w:rPr>
            <w:rFonts w:ascii="Times New Roman" w:cs="Times New Roman" w:eastAsia="Times New Roman" w:hAnsi="Times New Roman"/>
            <w:color w:val="642a8f"/>
            <w:sz w:val="24"/>
            <w:szCs w:val="24"/>
            <w:u w:val="single"/>
            <w:rtl w:val="0"/>
          </w:rPr>
          <w:t xml:space="preserve">Karwowski (2014)</w:t>
        </w:r>
      </w:hyperlink>
      <w:r w:rsidDel="00000000" w:rsidR="00000000" w:rsidRPr="00000000">
        <w:rPr>
          <w:rFonts w:ascii="Times New Roman" w:cs="Times New Roman" w:eastAsia="Times New Roman" w:hAnsi="Times New Roman"/>
          <w:sz w:val="24"/>
          <w:szCs w:val="24"/>
          <w:rtl w:val="0"/>
        </w:rPr>
        <w:t xml:space="preserve"> viewed two types of mindsets differently in terms of their constructs. The research done by </w:t>
      </w:r>
      <w:hyperlink r:id="rId44">
        <w:r w:rsidDel="00000000" w:rsidR="00000000" w:rsidRPr="00000000">
          <w:rPr>
            <w:rFonts w:ascii="Times New Roman" w:cs="Times New Roman" w:eastAsia="Times New Roman" w:hAnsi="Times New Roman"/>
            <w:color w:val="642a8f"/>
            <w:sz w:val="24"/>
            <w:szCs w:val="24"/>
            <w:u w:val="single"/>
            <w:rtl w:val="0"/>
          </w:rPr>
          <w:t xml:space="preserve">O’Connor et al. (2013)</w:t>
        </w:r>
      </w:hyperlink>
      <w:r w:rsidDel="00000000" w:rsidR="00000000" w:rsidRPr="00000000">
        <w:rPr>
          <w:rFonts w:ascii="Times New Roman" w:cs="Times New Roman" w:eastAsia="Times New Roman" w:hAnsi="Times New Roman"/>
          <w:sz w:val="24"/>
          <w:szCs w:val="24"/>
          <w:rtl w:val="0"/>
        </w:rPr>
        <w:t xml:space="preserve"> was based on the premise that people endorse either fixed beliefs or incremental beliefs. That is, </w:t>
      </w:r>
      <w:commentRangeStart w:id="18"/>
      <w:r w:rsidDel="00000000" w:rsidR="00000000" w:rsidRPr="00000000">
        <w:rPr>
          <w:rFonts w:ascii="Times New Roman" w:cs="Times New Roman" w:eastAsia="Times New Roman" w:hAnsi="Times New Roman"/>
          <w:sz w:val="24"/>
          <w:szCs w:val="24"/>
          <w:highlight w:val="yellow"/>
          <w:rtl w:val="0"/>
        </w:rPr>
        <w:t xml:space="preserve">growth and fixed mindsets together form one construct.</w:t>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 This view is in accordance with the research done by Dweck and her colleagues (e.g., </w:t>
      </w:r>
      <w:hyperlink r:id="rId45">
        <w:r w:rsidDel="00000000" w:rsidR="00000000" w:rsidRPr="00000000">
          <w:rPr>
            <w:rFonts w:ascii="Times New Roman" w:cs="Times New Roman" w:eastAsia="Times New Roman" w:hAnsi="Times New Roman"/>
            <w:color w:val="642a8f"/>
            <w:sz w:val="24"/>
            <w:szCs w:val="24"/>
            <w:u w:val="single"/>
            <w:rtl w:val="0"/>
          </w:rPr>
          <w:t xml:space="preserve">Hong et al., 1999</w:t>
        </w:r>
      </w:hyperlink>
      <w:r w:rsidDel="00000000" w:rsidR="00000000" w:rsidRPr="00000000">
        <w:rPr>
          <w:rFonts w:ascii="Times New Roman" w:cs="Times New Roman" w:eastAsia="Times New Roman" w:hAnsi="Times New Roman"/>
          <w:sz w:val="24"/>
          <w:szCs w:val="24"/>
          <w:rtl w:val="0"/>
        </w:rPr>
        <w:t xml:space="preserve">; </w:t>
      </w:r>
      <w:hyperlink r:id="rId46">
        <w:r w:rsidDel="00000000" w:rsidR="00000000" w:rsidRPr="00000000">
          <w:rPr>
            <w:rFonts w:ascii="Times New Roman" w:cs="Times New Roman" w:eastAsia="Times New Roman" w:hAnsi="Times New Roman"/>
            <w:color w:val="642a8f"/>
            <w:sz w:val="24"/>
            <w:szCs w:val="24"/>
            <w:u w:val="single"/>
            <w:rtl w:val="0"/>
          </w:rPr>
          <w:t xml:space="preserve">Blackwell et al., 2007</w:t>
        </w:r>
      </w:hyperlink>
      <w:r w:rsidDel="00000000" w:rsidR="00000000" w:rsidRPr="00000000">
        <w:rPr>
          <w:rFonts w:ascii="Times New Roman" w:cs="Times New Roman" w:eastAsia="Times New Roman" w:hAnsi="Times New Roman"/>
          <w:sz w:val="24"/>
          <w:szCs w:val="24"/>
          <w:rtl w:val="0"/>
        </w:rPr>
        <w:t xml:space="preserve">). However, </w:t>
      </w:r>
      <w:hyperlink r:id="rId47">
        <w:r w:rsidDel="00000000" w:rsidR="00000000" w:rsidRPr="00000000">
          <w:rPr>
            <w:rFonts w:ascii="Times New Roman" w:cs="Times New Roman" w:eastAsia="Times New Roman" w:hAnsi="Times New Roman"/>
            <w:color w:val="642a8f"/>
            <w:sz w:val="24"/>
            <w:szCs w:val="24"/>
            <w:u w:val="single"/>
            <w:rtl w:val="0"/>
          </w:rPr>
          <w:t xml:space="preserve">Karwowski (2014)</w:t>
        </w:r>
      </w:hyperlink>
      <w:r w:rsidDel="00000000" w:rsidR="00000000" w:rsidRPr="00000000">
        <w:rPr>
          <w:rFonts w:ascii="Times New Roman" w:cs="Times New Roman" w:eastAsia="Times New Roman" w:hAnsi="Times New Roman"/>
          <w:sz w:val="24"/>
          <w:szCs w:val="24"/>
          <w:rtl w:val="0"/>
        </w:rPr>
        <w:t xml:space="preserve"> argued that people can hold two kinds of mindsets simultaneously, which means that the fixed mindset and the growth mindset should be conceived of as two correlated yet separate constructs. This view has been supported by correlational results of factor analyses conducted by </w:t>
      </w:r>
      <w:hyperlink r:id="rId48">
        <w:r w:rsidDel="00000000" w:rsidR="00000000" w:rsidRPr="00000000">
          <w:rPr>
            <w:rFonts w:ascii="Times New Roman" w:cs="Times New Roman" w:eastAsia="Times New Roman" w:hAnsi="Times New Roman"/>
            <w:color w:val="642a8f"/>
            <w:sz w:val="24"/>
            <w:szCs w:val="24"/>
            <w:u w:val="single"/>
            <w:rtl w:val="0"/>
          </w:rPr>
          <w:t xml:space="preserve">Hass et al. (2016)</w:t>
        </w:r>
      </w:hyperlink>
      <w:r w:rsidDel="00000000" w:rsidR="00000000" w:rsidRPr="00000000">
        <w:rPr>
          <w:rFonts w:ascii="Times New Roman" w:cs="Times New Roman" w:eastAsia="Times New Roman" w:hAnsi="Times New Roman"/>
          <w:sz w:val="24"/>
          <w:szCs w:val="24"/>
          <w:rtl w:val="0"/>
        </w:rPr>
        <w:t xml:space="preserve">, who found a negative correlation between fixed mindsets and growth mindsets, but the correlation was too small for the two to be considered as one construct. Furthermore, they found a positive correlation between the creative growth mindset and self-efficacy, but not between the fixed mindset and self-efficacy. As such, they concluded that while the two mindsets are related, they are indeed two distinct constructs. Additionally, applying a bifactor modeling approach and a latent profile analysis, </w:t>
      </w:r>
      <w:hyperlink r:id="rId49">
        <w:r w:rsidDel="00000000" w:rsidR="00000000" w:rsidRPr="00000000">
          <w:rPr>
            <w:rFonts w:ascii="Times New Roman" w:cs="Times New Roman" w:eastAsia="Times New Roman" w:hAnsi="Times New Roman"/>
            <w:color w:val="642a8f"/>
            <w:sz w:val="24"/>
            <w:szCs w:val="24"/>
            <w:u w:val="single"/>
            <w:rtl w:val="0"/>
          </w:rPr>
          <w:t xml:space="preserve">Karwowski et al. (2018b)</w:t>
        </w:r>
      </w:hyperlink>
      <w:r w:rsidDel="00000000" w:rsidR="00000000" w:rsidRPr="00000000">
        <w:rPr>
          <w:rFonts w:ascii="Times New Roman" w:cs="Times New Roman" w:eastAsia="Times New Roman" w:hAnsi="Times New Roman"/>
          <w:sz w:val="24"/>
          <w:szCs w:val="24"/>
          <w:rtl w:val="0"/>
        </w:rPr>
        <w:t xml:space="preserve">demonstrated that people can hold both fixed and growth mindsets. In fact, their results showed that people could be classified as people as those with high growth and low fixed mindsets, those with low growth and high fixed mindsets, those with high growth and high fixed mindsets, and those with low fixed and malleable mindsets.</w:t>
      </w:r>
    </w:p>
    <w:p w:rsidR="00000000" w:rsidDel="00000000" w:rsidP="00000000" w:rsidRDefault="00000000" w:rsidRPr="00000000" w14:paraId="00000009">
      <w:pPr>
        <w:spacing w:after="160" w:before="160" w:lineRule="auto"/>
        <w:contextualSpacing w:val="0"/>
        <w:rPr>
          <w:rFonts w:ascii="Times New Roman" w:cs="Times New Roman" w:eastAsia="Times New Roman" w:hAnsi="Times New Roman"/>
          <w:sz w:val="24"/>
          <w:szCs w:val="24"/>
        </w:rPr>
      </w:pPr>
      <w:commentRangeStart w:id="19"/>
      <w:r w:rsidDel="00000000" w:rsidR="00000000" w:rsidRPr="00000000">
        <w:rPr>
          <w:rFonts w:ascii="Times New Roman" w:cs="Times New Roman" w:eastAsia="Times New Roman" w:hAnsi="Times New Roman"/>
          <w:sz w:val="24"/>
          <w:szCs w:val="24"/>
          <w:highlight w:val="yellow"/>
          <w:rtl w:val="0"/>
        </w:rPr>
        <w:t xml:space="preserve">Overall, evidence from past research has established the associations between these two types of beliefs about creativity and creativity. </w:t>
      </w:r>
      <w:commentRangeEnd w:id="19"/>
      <w:r w:rsidDel="00000000" w:rsidR="00000000" w:rsidRPr="00000000">
        <w:commentReference w:id="19"/>
      </w:r>
      <w:commentRangeStart w:id="20"/>
      <w:r w:rsidDel="00000000" w:rsidR="00000000" w:rsidRPr="00000000">
        <w:rPr>
          <w:rFonts w:ascii="Times New Roman" w:cs="Times New Roman" w:eastAsia="Times New Roman" w:hAnsi="Times New Roman"/>
          <w:sz w:val="24"/>
          <w:szCs w:val="24"/>
          <w:highlight w:val="yellow"/>
          <w:rtl w:val="0"/>
        </w:rPr>
        <w:t xml:space="preserve">Specifically, high creative self-efficacy and growth mindset, rather than fixed mindset, appear to be linked to desirable creative outcomes.</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However, some inconsistencies regarding how researchers have hypothesized the direction of the associations should be addressed, especially if studies have involved creativity tasks. For instance, </w:t>
      </w:r>
      <w:hyperlink r:id="rId50">
        <w:r w:rsidDel="00000000" w:rsidR="00000000" w:rsidRPr="00000000">
          <w:rPr>
            <w:rFonts w:ascii="Times New Roman" w:cs="Times New Roman" w:eastAsia="Times New Roman" w:hAnsi="Times New Roman"/>
            <w:color w:val="642a8f"/>
            <w:sz w:val="24"/>
            <w:szCs w:val="24"/>
            <w:u w:val="single"/>
            <w:rtl w:val="0"/>
          </w:rPr>
          <w:t xml:space="preserve">Karwowski (2011)</w:t>
        </w:r>
      </w:hyperlink>
      <w:r w:rsidDel="00000000" w:rsidR="00000000" w:rsidRPr="00000000">
        <w:rPr>
          <w:rFonts w:ascii="Times New Roman" w:cs="Times New Roman" w:eastAsia="Times New Roman" w:hAnsi="Times New Roman"/>
          <w:sz w:val="24"/>
          <w:szCs w:val="24"/>
          <w:rtl w:val="0"/>
        </w:rPr>
        <w:t xml:space="preserve"> used a creativity task, specifically a divergent thinking task, to study the association between creative self-efficacy and creativity. In his study, the performance in the task was treated as a predictor of self-efficacy. The direction of the divergent thinking performance and self-efficacy found in this study is in alignment with </w:t>
      </w:r>
      <w:hyperlink r:id="rId51">
        <w:r w:rsidDel="00000000" w:rsidR="00000000" w:rsidRPr="00000000">
          <w:rPr>
            <w:rFonts w:ascii="Times New Roman" w:cs="Times New Roman" w:eastAsia="Times New Roman" w:hAnsi="Times New Roman"/>
            <w:color w:val="642a8f"/>
            <w:sz w:val="24"/>
            <w:szCs w:val="24"/>
            <w:u w:val="single"/>
            <w:rtl w:val="0"/>
          </w:rPr>
          <w:t xml:space="preserve">Karwowski and Beghetto’s (2018)</w:t>
        </w:r>
      </w:hyperlink>
      <w:r w:rsidDel="00000000" w:rsidR="00000000" w:rsidRPr="00000000">
        <w:rPr>
          <w:rFonts w:ascii="Times New Roman" w:cs="Times New Roman" w:eastAsia="Times New Roman" w:hAnsi="Times New Roman"/>
          <w:sz w:val="24"/>
          <w:szCs w:val="24"/>
          <w:rtl w:val="0"/>
        </w:rPr>
        <w:t xml:space="preserve"> Creative Behavior as Agentic Action model, which proposes that the link between creative potentials and creative achievement is mediated and moderated by creative confidence and valuing creativity. </w:t>
      </w:r>
      <w:commentRangeStart w:id="21"/>
      <w:r w:rsidDel="00000000" w:rsidR="00000000" w:rsidRPr="00000000">
        <w:rPr>
          <w:rFonts w:ascii="Times New Roman" w:cs="Times New Roman" w:eastAsia="Times New Roman" w:hAnsi="Times New Roman"/>
          <w:sz w:val="24"/>
          <w:szCs w:val="24"/>
          <w:highlight w:val="yellow"/>
          <w:rtl w:val="0"/>
        </w:rPr>
        <w:t xml:space="preserve">According to this model, divergent and convergent thinking abilities are viewed as creative potentials and essentially these abilities influence self-efficacy.</w:t>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 Creative mindsets were later included in the Elaborated Creative Behavior as Agentic Action model (</w:t>
      </w:r>
      <w:hyperlink r:id="rId52">
        <w:r w:rsidDel="00000000" w:rsidR="00000000" w:rsidRPr="00000000">
          <w:rPr>
            <w:rFonts w:ascii="Times New Roman" w:cs="Times New Roman" w:eastAsia="Times New Roman" w:hAnsi="Times New Roman"/>
            <w:color w:val="642a8f"/>
            <w:sz w:val="24"/>
            <w:szCs w:val="24"/>
            <w:u w:val="single"/>
            <w:rtl w:val="0"/>
          </w:rPr>
          <w:t xml:space="preserve">Karwowski et al., 2016</w:t>
        </w:r>
      </w:hyperlink>
      <w:r w:rsidDel="00000000" w:rsidR="00000000" w:rsidRPr="00000000">
        <w:rPr>
          <w:rFonts w:ascii="Times New Roman" w:cs="Times New Roman" w:eastAsia="Times New Roman" w:hAnsi="Times New Roman"/>
          <w:sz w:val="24"/>
          <w:szCs w:val="24"/>
          <w:rtl w:val="0"/>
        </w:rPr>
        <w:t xml:space="preserve">). According to this model, creative mindsets influence the relationships between creative potential, creative self-beliefs, and creative behavior. In this later model, divergent and convergent thinking are also perceived as creative potentials which are neither predictors of self-efficacy nor creative mindsets. Conversely, some studies on creativity’s relationship with creative mindsets examined performance in a divergent thinking task, such as the Alternative Uses Task (</w:t>
      </w:r>
      <w:hyperlink r:id="rId53">
        <w:r w:rsidDel="00000000" w:rsidR="00000000" w:rsidRPr="00000000">
          <w:rPr>
            <w:rFonts w:ascii="Times New Roman" w:cs="Times New Roman" w:eastAsia="Times New Roman" w:hAnsi="Times New Roman"/>
            <w:color w:val="642a8f"/>
            <w:sz w:val="24"/>
            <w:szCs w:val="24"/>
            <w:u w:val="single"/>
            <w:rtl w:val="0"/>
          </w:rPr>
          <w:t xml:space="preserve">O’Connor et al., 2013</w:t>
        </w:r>
      </w:hyperlink>
      <w:r w:rsidDel="00000000" w:rsidR="00000000" w:rsidRPr="00000000">
        <w:rPr>
          <w:rFonts w:ascii="Times New Roman" w:cs="Times New Roman" w:eastAsia="Times New Roman" w:hAnsi="Times New Roman"/>
          <w:sz w:val="24"/>
          <w:szCs w:val="24"/>
          <w:rtl w:val="0"/>
        </w:rPr>
        <w:t xml:space="preserve">) or a convergent thinking task (e.g., insight problems; </w:t>
      </w:r>
      <w:hyperlink r:id="rId54">
        <w:r w:rsidDel="00000000" w:rsidR="00000000" w:rsidRPr="00000000">
          <w:rPr>
            <w:rFonts w:ascii="Times New Roman" w:cs="Times New Roman" w:eastAsia="Times New Roman" w:hAnsi="Times New Roman"/>
            <w:color w:val="642a8f"/>
            <w:sz w:val="24"/>
            <w:szCs w:val="24"/>
            <w:u w:val="single"/>
            <w:rtl w:val="0"/>
          </w:rPr>
          <w:t xml:space="preserve">Karwowski, 2014</w:t>
        </w:r>
      </w:hyperlink>
      <w:r w:rsidDel="00000000" w:rsidR="00000000" w:rsidRPr="00000000">
        <w:rPr>
          <w:rFonts w:ascii="Times New Roman" w:cs="Times New Roman" w:eastAsia="Times New Roman" w:hAnsi="Times New Roman"/>
          <w:sz w:val="24"/>
          <w:szCs w:val="24"/>
          <w:rtl w:val="0"/>
        </w:rPr>
        <w:t xml:space="preserve">), as an outcome of creative mindsets. </w:t>
      </w:r>
      <w:commentRangeStart w:id="22"/>
      <w:r w:rsidDel="00000000" w:rsidR="00000000" w:rsidRPr="00000000">
        <w:rPr>
          <w:rFonts w:ascii="Times New Roman" w:cs="Times New Roman" w:eastAsia="Times New Roman" w:hAnsi="Times New Roman"/>
          <w:sz w:val="24"/>
          <w:szCs w:val="24"/>
          <w:highlight w:val="yellow"/>
          <w:rtl w:val="0"/>
        </w:rPr>
        <w:t xml:space="preserve">This indicates that performance in divergent or convergent thinking tasks can be used as both a predictor and an outcome of beliefs</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rtl w:val="0"/>
        </w:rPr>
        <w:t xml:space="preserve">. This difference may simply depend on how researchers view the performance of the tasks. As a predictor, performance may serve as a reference for people to evaluate their abilities and form their beliefs. As an outcome, performance represents some form of creative behavior which is a result of how beliefs influence actions. The present research is based on the premise that beliefs influence creative performance and it aims to explore some psychological factors that could potentially explain this mechanism.</w:t>
      </w:r>
    </w:p>
    <w:p w:rsidR="00000000" w:rsidDel="00000000" w:rsidP="00000000" w:rsidRDefault="00000000" w:rsidRPr="00000000" w14:paraId="0000000A">
      <w:pPr>
        <w:contextualSpacing w:val="0"/>
        <w:rPr/>
      </w:pPr>
      <w:r w:rsidDel="00000000" w:rsidR="00000000" w:rsidRPr="00000000">
        <w:rPr>
          <w:rtl w:val="0"/>
        </w:rPr>
      </w:r>
    </w:p>
    <w:sectPr>
      <w:headerReference r:id="rId55"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ma Gueorguieva" w:id="20" w:date="2018-10-26T18:30:47Z">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other words, believe in yourself</w:t>
      </w:r>
    </w:p>
  </w:comment>
  <w:comment w:author="Emma Gueorguieva" w:id="19" w:date="2018-10-26T18:30:22Z">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really surprised me how many studies over this there are</w:t>
      </w:r>
    </w:p>
  </w:comment>
  <w:comment w:author="Emma Gueorguieva" w:id="15" w:date="2018-10-26T18:22:45Z">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wonder who discovered this?</w:t>
      </w:r>
    </w:p>
  </w:comment>
  <w:comment w:author="Emma Gueorguieva" w:id="2" w:date="2018-10-26T17:22:53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caused these growing studies on creativity?</w:t>
      </w:r>
    </w:p>
  </w:comment>
  <w:comment w:author="Emma Gueorguieva" w:id="12" w:date="2018-10-26T18:17:38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heard this before, but it is really nice to have it scientifically affirmed</w:t>
      </w:r>
    </w:p>
  </w:comment>
  <w:comment w:author="Emma Gueorguieva" w:id="18" w:date="2018-10-26T18:29:25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both are necessary, then the goal should be to control fixed mindsets rather than remove them completely</w:t>
      </w:r>
    </w:p>
  </w:comment>
  <w:comment w:author="Emma Gueorguieva" w:id="14" w:date="2018-10-26T18:21:00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just unhealthy to do anyway</w:t>
      </w:r>
    </w:p>
  </w:comment>
  <w:comment w:author="Emma Gueorguieva" w:id="3" w:date="2018-10-26T17:25:08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power of positive thinking! I grew up with people telling me that I need to believe in myself and have self-confidence, but I never knew that it genuinely boosted my productivity</w:t>
      </w:r>
    </w:p>
  </w:comment>
  <w:comment w:author="Emma Gueorguieva" w:id="11" w:date="2018-10-26T18:16:16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by trying to enter a creative mindset I am essentially indulging in a theory?</w:t>
      </w:r>
    </w:p>
  </w:comment>
  <w:comment w:author="Emma Gueorguieva" w:id="17" w:date="2018-10-26T18:25:19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problem solving skills could simultaneously develop and innovate the fixed mindset</w:t>
      </w:r>
    </w:p>
  </w:comment>
  <w:comment w:author="Emma Gueorguieva" w:id="0" w:date="2018-10-26T17:03:17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never knew the definition was so academic, it's almost like a paradox</w:t>
      </w:r>
    </w:p>
  </w:comment>
  <w:comment w:author="Emma Gueorguieva" w:id="13" w:date="2018-10-26T18:19:44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however is choosing to blame and not take responsibility which is linked with immaturity</w:t>
      </w:r>
    </w:p>
  </w:comment>
  <w:comment w:author="Emma Gueorguieva" w:id="4" w:date="2018-10-26T17:25:46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self-efficacy is one's belief in their innate ability to do things</w:t>
      </w:r>
    </w:p>
  </w:comment>
  <w:comment w:author="Emma Gueorguieva" w:id="8" w:date="2018-10-26T17:29:08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means there is a direct relationship between self-efficacy and performance!</w:t>
      </w:r>
    </w:p>
  </w:comment>
  <w:comment w:author="Emma Gueorguieva" w:id="16" w:date="2018-10-26T18:23:46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research creative mindsets more</w:t>
      </w:r>
    </w:p>
  </w:comment>
  <w:comment w:author="Emma Gueorguieva" w:id="5" w:date="2018-10-26T17:26:21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has made researchers attracted to this recently?</w:t>
      </w:r>
    </w:p>
  </w:comment>
  <w:comment w:author="Emma Gueorguieva" w:id="9" w:date="2018-10-26T17:31:22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Studies on this have been conducted in the workplace and school environment before, but I have never heard of this. What is inhibiting the transfer of this information to the mainstream?</w:t>
      </w:r>
    </w:p>
  </w:comment>
  <w:comment w:author="Emma Gueorguieva" w:id="1" w:date="2018-10-26T17:13:38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remember learning about these in AP psychology last year</w:t>
      </w:r>
    </w:p>
  </w:comment>
  <w:comment w:author="Emma Gueorguieva" w:id="6" w:date="2018-10-26T17:27:00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research more about Bandura</w:t>
      </w:r>
    </w:p>
  </w:comment>
  <w:comment w:author="Emma Gueorguieva" w:id="10" w:date="2018-10-26T17:31:59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 is so promising, why is this not public knowledge? Nobody takes the power of positive thinking seriously, this needs to become more widespread!</w:t>
      </w:r>
    </w:p>
  </w:comment>
  <w:comment w:author="Emma Gueorguieva" w:id="22" w:date="2018-10-26T18:32:35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study more about divergent and convergent thinking and their importance in writer's block</w:t>
      </w:r>
    </w:p>
  </w:comment>
  <w:comment w:author="Emma Gueorguieva" w:id="7" w:date="2018-10-26T17:28:27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true, many people become discouraged by certain tasks because they believe that they can't do it, which in tern makes them unable to do it</w:t>
      </w:r>
    </w:p>
  </w:comment>
  <w:comment w:author="Emma Gueorguieva" w:id="21" w:date="2018-10-26T18:31:49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to know, I never thought about it this way before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cbi.nlm.nih.gov/pmc/articles/PMC6165896/#B59" TargetMode="External"/><Relationship Id="rId42" Type="http://schemas.openxmlformats.org/officeDocument/2006/relationships/hyperlink" Target="https://www.ncbi.nlm.nih.gov/pmc/articles/PMC6165896/#B59" TargetMode="External"/><Relationship Id="rId41" Type="http://schemas.openxmlformats.org/officeDocument/2006/relationships/hyperlink" Target="https://www.ncbi.nlm.nih.gov/pmc/articles/PMC6165896/#B38" TargetMode="External"/><Relationship Id="rId44" Type="http://schemas.openxmlformats.org/officeDocument/2006/relationships/hyperlink" Target="https://www.ncbi.nlm.nih.gov/pmc/articles/PMC6165896/#B59" TargetMode="External"/><Relationship Id="rId43" Type="http://schemas.openxmlformats.org/officeDocument/2006/relationships/hyperlink" Target="https://www.ncbi.nlm.nih.gov/pmc/articles/PMC6165896/#B38" TargetMode="External"/><Relationship Id="rId46" Type="http://schemas.openxmlformats.org/officeDocument/2006/relationships/hyperlink" Target="https://www.ncbi.nlm.nih.gov/pmc/articles/PMC6165896/#B13" TargetMode="External"/><Relationship Id="rId45" Type="http://schemas.openxmlformats.org/officeDocument/2006/relationships/hyperlink" Target="https://www.ncbi.nlm.nih.gov/pmc/articles/PMC6165896/#B35"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cbi.nlm.nih.gov/pmc/articles/PMC6165896/#B70" TargetMode="External"/><Relationship Id="rId48" Type="http://schemas.openxmlformats.org/officeDocument/2006/relationships/hyperlink" Target="https://www.ncbi.nlm.nih.gov/pmc/articles/PMC6165896/#B33" TargetMode="External"/><Relationship Id="rId47" Type="http://schemas.openxmlformats.org/officeDocument/2006/relationships/hyperlink" Target="https://www.ncbi.nlm.nih.gov/pmc/articles/PMC6165896/#B38" TargetMode="External"/><Relationship Id="rId49" Type="http://schemas.openxmlformats.org/officeDocument/2006/relationships/hyperlink" Target="https://www.ncbi.nlm.nih.gov/pmc/articles/PMC6165896/#B43"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ncbi.nlm.nih.gov/pmc/articles/PMC6165896/#B78" TargetMode="External"/><Relationship Id="rId8" Type="http://schemas.openxmlformats.org/officeDocument/2006/relationships/hyperlink" Target="https://www.ncbi.nlm.nih.gov/pmc/articles/PMC6165896/#B79" TargetMode="External"/><Relationship Id="rId31" Type="http://schemas.openxmlformats.org/officeDocument/2006/relationships/hyperlink" Target="https://www.ncbi.nlm.nih.gov/pmc/articles/PMC6165896/#B56" TargetMode="External"/><Relationship Id="rId30" Type="http://schemas.openxmlformats.org/officeDocument/2006/relationships/hyperlink" Target="https://www.ncbi.nlm.nih.gov/pmc/articles/PMC6165896/#B26" TargetMode="External"/><Relationship Id="rId33" Type="http://schemas.openxmlformats.org/officeDocument/2006/relationships/hyperlink" Target="https://www.ncbi.nlm.nih.gov/pmc/articles/PMC6165896/#B35" TargetMode="External"/><Relationship Id="rId32" Type="http://schemas.openxmlformats.org/officeDocument/2006/relationships/hyperlink" Target="https://www.ncbi.nlm.nih.gov/pmc/articles/PMC6165896/#B35" TargetMode="External"/><Relationship Id="rId35" Type="http://schemas.openxmlformats.org/officeDocument/2006/relationships/hyperlink" Target="https://www.ncbi.nlm.nih.gov/pmc/articles/PMC6165896/#B56" TargetMode="External"/><Relationship Id="rId34" Type="http://schemas.openxmlformats.org/officeDocument/2006/relationships/hyperlink" Target="https://www.ncbi.nlm.nih.gov/pmc/articles/PMC6165896/#B31" TargetMode="External"/><Relationship Id="rId37" Type="http://schemas.openxmlformats.org/officeDocument/2006/relationships/hyperlink" Target="https://www.ncbi.nlm.nih.gov/pmc/articles/PMC6165896/#B35" TargetMode="External"/><Relationship Id="rId36" Type="http://schemas.openxmlformats.org/officeDocument/2006/relationships/hyperlink" Target="https://www.ncbi.nlm.nih.gov/pmc/articles/PMC6165896/#B88" TargetMode="External"/><Relationship Id="rId39" Type="http://schemas.openxmlformats.org/officeDocument/2006/relationships/hyperlink" Target="https://www.ncbi.nlm.nih.gov/pmc/articles/PMC6165896/#B25" TargetMode="External"/><Relationship Id="rId38" Type="http://schemas.openxmlformats.org/officeDocument/2006/relationships/hyperlink" Target="https://www.ncbi.nlm.nih.gov/pmc/articles/PMC6165896/#B13" TargetMode="External"/><Relationship Id="rId20" Type="http://schemas.openxmlformats.org/officeDocument/2006/relationships/hyperlink" Target="https://www.ncbi.nlm.nih.gov/pmc/articles/PMC6165896/#B76" TargetMode="External"/><Relationship Id="rId22" Type="http://schemas.openxmlformats.org/officeDocument/2006/relationships/hyperlink" Target="https://www.ncbi.nlm.nih.gov/pmc/articles/PMC6165896/#B4" TargetMode="External"/><Relationship Id="rId21" Type="http://schemas.openxmlformats.org/officeDocument/2006/relationships/hyperlink" Target="https://www.ncbi.nlm.nih.gov/pmc/articles/PMC6165896/#B7" TargetMode="External"/><Relationship Id="rId24" Type="http://schemas.openxmlformats.org/officeDocument/2006/relationships/hyperlink" Target="https://www.ncbi.nlm.nih.gov/pmc/articles/PMC6165896/#B54" TargetMode="External"/><Relationship Id="rId23" Type="http://schemas.openxmlformats.org/officeDocument/2006/relationships/hyperlink" Target="https://www.ncbi.nlm.nih.gov/pmc/articles/PMC6165896/#B87" TargetMode="External"/><Relationship Id="rId26" Type="http://schemas.openxmlformats.org/officeDocument/2006/relationships/hyperlink" Target="https://www.ncbi.nlm.nih.gov/pmc/articles/PMC6165896/#B81" TargetMode="External"/><Relationship Id="rId25" Type="http://schemas.openxmlformats.org/officeDocument/2006/relationships/hyperlink" Target="https://www.ncbi.nlm.nih.gov/pmc/articles/PMC6165896/#B80" TargetMode="External"/><Relationship Id="rId28" Type="http://schemas.openxmlformats.org/officeDocument/2006/relationships/hyperlink" Target="https://www.ncbi.nlm.nih.gov/pmc/articles/PMC6165896/#B37" TargetMode="External"/><Relationship Id="rId27" Type="http://schemas.openxmlformats.org/officeDocument/2006/relationships/hyperlink" Target="https://www.ncbi.nlm.nih.gov/pmc/articles/PMC6165896/#B11" TargetMode="External"/><Relationship Id="rId29" Type="http://schemas.openxmlformats.org/officeDocument/2006/relationships/hyperlink" Target="https://www.ncbi.nlm.nih.gov/pmc/articles/PMC6165896/#B40" TargetMode="External"/><Relationship Id="rId51" Type="http://schemas.openxmlformats.org/officeDocument/2006/relationships/hyperlink" Target="https://www.ncbi.nlm.nih.gov/pmc/articles/PMC6165896/#B39" TargetMode="External"/><Relationship Id="rId50" Type="http://schemas.openxmlformats.org/officeDocument/2006/relationships/hyperlink" Target="https://www.ncbi.nlm.nih.gov/pmc/articles/PMC6165896/#B37" TargetMode="External"/><Relationship Id="rId53" Type="http://schemas.openxmlformats.org/officeDocument/2006/relationships/hyperlink" Target="https://www.ncbi.nlm.nih.gov/pmc/articles/PMC6165896/#B59" TargetMode="External"/><Relationship Id="rId52" Type="http://schemas.openxmlformats.org/officeDocument/2006/relationships/hyperlink" Target="https://www.ncbi.nlm.nih.gov/pmc/articles/PMC6165896/#B41" TargetMode="External"/><Relationship Id="rId11" Type="http://schemas.openxmlformats.org/officeDocument/2006/relationships/hyperlink" Target="https://www.ncbi.nlm.nih.gov/pmc/articles/PMC6165896/#B29" TargetMode="External"/><Relationship Id="rId55" Type="http://schemas.openxmlformats.org/officeDocument/2006/relationships/header" Target="header1.xml"/><Relationship Id="rId10" Type="http://schemas.openxmlformats.org/officeDocument/2006/relationships/hyperlink" Target="https://www.ncbi.nlm.nih.gov/pmc/articles/PMC6165896/#B18" TargetMode="External"/><Relationship Id="rId54" Type="http://schemas.openxmlformats.org/officeDocument/2006/relationships/hyperlink" Target="https://www.ncbi.nlm.nih.gov/pmc/articles/PMC6165896/#B38" TargetMode="External"/><Relationship Id="rId13" Type="http://schemas.openxmlformats.org/officeDocument/2006/relationships/hyperlink" Target="https://www.ncbi.nlm.nih.gov/pmc/articles/PMC6165896/#B69" TargetMode="External"/><Relationship Id="rId12" Type="http://schemas.openxmlformats.org/officeDocument/2006/relationships/hyperlink" Target="https://www.ncbi.nlm.nih.gov/pmc/articles/PMC6165896/#B30" TargetMode="External"/><Relationship Id="rId15" Type="http://schemas.openxmlformats.org/officeDocument/2006/relationships/hyperlink" Target="https://www.ncbi.nlm.nih.gov/pmc/articles/PMC6165896/#B3" TargetMode="External"/><Relationship Id="rId14" Type="http://schemas.openxmlformats.org/officeDocument/2006/relationships/hyperlink" Target="https://www.ncbi.nlm.nih.gov/pmc/articles/PMC6165896/#B80" TargetMode="External"/><Relationship Id="rId17" Type="http://schemas.openxmlformats.org/officeDocument/2006/relationships/hyperlink" Target="https://www.ncbi.nlm.nih.gov/pmc/articles/PMC6165896/#B6" TargetMode="External"/><Relationship Id="rId16" Type="http://schemas.openxmlformats.org/officeDocument/2006/relationships/hyperlink" Target="https://www.ncbi.nlm.nih.gov/pmc/articles/PMC6165896/#B5" TargetMode="External"/><Relationship Id="rId19" Type="http://schemas.openxmlformats.org/officeDocument/2006/relationships/hyperlink" Target="https://www.ncbi.nlm.nih.gov/pmc/articles/PMC6165896/#B90" TargetMode="External"/><Relationship Id="rId18" Type="http://schemas.openxmlformats.org/officeDocument/2006/relationships/hyperlink" Target="https://www.ncbi.nlm.nih.gov/pmc/articles/PMC6165896/#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